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5C780F">
      <w:pPr>
        <w:jc w:val="center"/>
        <w:rPr>
          <w:rFonts w:hint="eastAsia" w:eastAsiaTheme="minorEastAsia"/>
          <w:b/>
          <w:sz w:val="44"/>
          <w:szCs w:val="44"/>
          <w:lang w:val="en-US" w:eastAsia="zh-CN"/>
        </w:rPr>
      </w:pPr>
      <w:r>
        <w:rPr>
          <w:b/>
          <w:sz w:val="44"/>
          <w:szCs w:val="44"/>
        </w:rPr>
        <w:t>浙江省高等教育学会</w:t>
      </w:r>
      <w:r>
        <w:rPr>
          <w:rFonts w:hint="eastAsia"/>
          <w:b/>
          <w:sz w:val="44"/>
          <w:szCs w:val="44"/>
          <w:lang w:val="en-US" w:eastAsia="zh-CN"/>
        </w:rPr>
        <w:t>智能教育分会</w:t>
      </w:r>
    </w:p>
    <w:p w14:paraId="538D08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5" w:afterAutospacing="0" w:line="26" w:lineRule="atLeast"/>
        <w:ind w:left="0" w:right="0" w:firstLine="0"/>
        <w:jc w:val="center"/>
        <w:rPr>
          <w:rFonts w:ascii="仿宋_GB2312" w:hAnsi="仿宋_GB2312" w:eastAsia="仿宋_GB2312" w:cs="仿宋_GB2312"/>
          <w:b w:val="0"/>
          <w:bCs w:val="0"/>
          <w:i w:val="0"/>
          <w:iCs w:val="0"/>
          <w:caps w:val="0"/>
          <w:color w:val="000000"/>
          <w:spacing w:val="0"/>
          <w:kern w:val="0"/>
          <w:sz w:val="28"/>
          <w:szCs w:val="28"/>
          <w:bdr w:val="none" w:color="auto" w:sz="0" w:space="0"/>
          <w:shd w:val="clear" w:fill="FFFFFF"/>
          <w:lang w:val="en-US" w:eastAsia="zh-CN" w:bidi="ar"/>
        </w:rPr>
      </w:pPr>
      <w:r>
        <w:rPr>
          <w:b/>
          <w:sz w:val="36"/>
          <w:szCs w:val="36"/>
        </w:rPr>
        <w:t>关</w:t>
      </w:r>
      <w:r>
        <w:rPr>
          <w:rFonts w:hint="eastAsia"/>
          <w:b/>
          <w:sz w:val="36"/>
          <w:szCs w:val="36"/>
        </w:rPr>
        <w:t>于202</w:t>
      </w:r>
      <w:r>
        <w:rPr>
          <w:rFonts w:hint="eastAsia"/>
          <w:b/>
          <w:sz w:val="36"/>
          <w:szCs w:val="36"/>
          <w:lang w:val="en-US" w:eastAsia="zh-CN"/>
        </w:rPr>
        <w:t>6</w:t>
      </w:r>
      <w:r>
        <w:rPr>
          <w:rFonts w:hint="eastAsia"/>
          <w:b/>
          <w:sz w:val="36"/>
          <w:szCs w:val="36"/>
        </w:rPr>
        <w:t>年度高等教育研究课题</w:t>
      </w:r>
      <w:r>
        <w:rPr>
          <w:rFonts w:hint="eastAsia"/>
          <w:b/>
          <w:sz w:val="36"/>
          <w:szCs w:val="36"/>
          <w:lang w:val="en-US" w:eastAsia="zh-CN"/>
        </w:rPr>
        <w:t>评审结果</w:t>
      </w:r>
      <w:r>
        <w:rPr>
          <w:rFonts w:hint="eastAsia"/>
          <w:b/>
          <w:sz w:val="36"/>
          <w:szCs w:val="36"/>
        </w:rPr>
        <w:t>的公示</w:t>
      </w:r>
    </w:p>
    <w:p w14:paraId="647B7B0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 w:lineRule="atLeast"/>
        <w:ind w:left="0" w:right="0" w:firstLine="0"/>
        <w:jc w:val="both"/>
        <w:textAlignment w:val="auto"/>
        <w:rPr>
          <w:rFonts w:hint="eastAsia" w:ascii="微软雅黑" w:hAnsi="微软雅黑" w:eastAsia="微软雅黑" w:cs="微软雅黑"/>
          <w:i w:val="0"/>
          <w:iCs w:val="0"/>
          <w:caps w:val="0"/>
          <w:color w:val="000000"/>
          <w:spacing w:val="0"/>
          <w:sz w:val="28"/>
          <w:szCs w:val="28"/>
        </w:rPr>
      </w:pPr>
      <w:r>
        <w:rPr>
          <w:rFonts w:ascii="仿宋_GB2312" w:hAnsi="仿宋_GB2312" w:eastAsia="仿宋_GB2312" w:cs="仿宋_GB2312"/>
          <w:b w:val="0"/>
          <w:bCs w:val="0"/>
          <w:i w:val="0"/>
          <w:iCs w:val="0"/>
          <w:caps w:val="0"/>
          <w:color w:val="000000"/>
          <w:spacing w:val="0"/>
          <w:kern w:val="0"/>
          <w:sz w:val="28"/>
          <w:szCs w:val="28"/>
          <w:bdr w:val="none" w:color="auto" w:sz="0" w:space="0"/>
          <w:shd w:val="clear" w:fill="FFFFFF"/>
          <w:lang w:val="en-US" w:eastAsia="zh-CN" w:bidi="ar"/>
        </w:rPr>
        <w:t>各理事单位：</w:t>
      </w:r>
    </w:p>
    <w:p w14:paraId="71C12D8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 w:lineRule="atLeast"/>
        <w:ind w:left="0" w:right="0" w:firstLine="555"/>
        <w:jc w:val="both"/>
        <w:textAlignment w:val="auto"/>
        <w:rPr>
          <w:rFonts w:hint="eastAsia" w:ascii="微软雅黑" w:hAnsi="微软雅黑" w:eastAsia="微软雅黑" w:cs="微软雅黑"/>
          <w:i w:val="0"/>
          <w:iCs w:val="0"/>
          <w:caps w:val="0"/>
          <w:color w:val="000000"/>
          <w:spacing w:val="0"/>
          <w:sz w:val="28"/>
          <w:szCs w:val="28"/>
        </w:rPr>
      </w:pPr>
      <w:r>
        <w:rPr>
          <w:rFonts w:hint="eastAsia" w:ascii="仿宋_GB2312" w:hAnsi="仿宋_GB2312" w:eastAsia="仿宋_GB2312" w:cs="仿宋_GB2312"/>
          <w:b w:val="0"/>
          <w:bCs w:val="0"/>
          <w:i w:val="0"/>
          <w:iCs w:val="0"/>
          <w:caps w:val="0"/>
          <w:color w:val="000000"/>
          <w:spacing w:val="0"/>
          <w:kern w:val="0"/>
          <w:sz w:val="28"/>
          <w:szCs w:val="28"/>
          <w:bdr w:val="none" w:color="auto" w:sz="0" w:space="0"/>
          <w:shd w:val="clear" w:fill="FFFFFF"/>
          <w:lang w:val="en-US" w:eastAsia="zh-CN" w:bidi="ar"/>
        </w:rPr>
        <w:t>根据《浙江省高等教育学会高等教育课题研究管理办法》（浙高教学会〔2020〕2号）和《浙江省高等教育学关于组织申报2025年</w:t>
      </w:r>
      <w:bookmarkStart w:id="0" w:name="_GoBack"/>
      <w:bookmarkEnd w:id="0"/>
      <w:r>
        <w:rPr>
          <w:rFonts w:hint="eastAsia" w:ascii="仿宋_GB2312" w:hAnsi="仿宋_GB2312" w:eastAsia="仿宋_GB2312" w:cs="仿宋_GB2312"/>
          <w:b w:val="0"/>
          <w:bCs w:val="0"/>
          <w:i w:val="0"/>
          <w:iCs w:val="0"/>
          <w:caps w:val="0"/>
          <w:color w:val="000000"/>
          <w:spacing w:val="0"/>
          <w:kern w:val="0"/>
          <w:sz w:val="28"/>
          <w:szCs w:val="28"/>
          <w:bdr w:val="none" w:color="auto" w:sz="0" w:space="0"/>
          <w:shd w:val="clear" w:fill="FFFFFF"/>
          <w:lang w:val="en-US" w:eastAsia="zh-CN" w:bidi="ar"/>
        </w:rPr>
        <w:t>度高等教育研究课题暨“人工智能赋能教育教学应用研究”专项课题立项申报工作的通知》等文件和通知精神，经理事单位积极组织申报并进行评审筛选，按限额推荐给分会，分会秘书处组织专家进行评审，本次参与评审的2026年度高等教育研究课题共30项，其中宁波大学章成铭的“基于时序超图的师范生反思能力演化机理与智能干预研究”等5项课题推荐为浙江省高等教育学会课题，杭州万向职业技术学院杨艳的“生成式人工智能背景下高职学生认知依赖的形成机制与教学治理研究”等25项课题为智能教育分会课题。具体见附件。</w:t>
      </w:r>
    </w:p>
    <w:p w14:paraId="2B55F6F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 w:lineRule="atLeast"/>
        <w:ind w:left="0" w:right="0" w:firstLine="555"/>
        <w:jc w:val="both"/>
        <w:textAlignment w:val="auto"/>
        <w:rPr>
          <w:rFonts w:hint="eastAsia" w:ascii="微软雅黑" w:hAnsi="微软雅黑" w:eastAsia="微软雅黑" w:cs="微软雅黑"/>
          <w:i w:val="0"/>
          <w:iCs w:val="0"/>
          <w:caps w:val="0"/>
          <w:color w:val="000000"/>
          <w:spacing w:val="0"/>
          <w:sz w:val="28"/>
          <w:szCs w:val="28"/>
        </w:rPr>
      </w:pPr>
      <w:r>
        <w:rPr>
          <w:rFonts w:hint="eastAsia" w:ascii="仿宋_GB2312" w:hAnsi="仿宋_GB2312" w:eastAsia="仿宋_GB2312" w:cs="仿宋_GB2312"/>
          <w:b w:val="0"/>
          <w:bCs w:val="0"/>
          <w:i w:val="0"/>
          <w:iCs w:val="0"/>
          <w:caps w:val="0"/>
          <w:color w:val="000000"/>
          <w:spacing w:val="0"/>
          <w:kern w:val="0"/>
          <w:sz w:val="28"/>
          <w:szCs w:val="28"/>
          <w:bdr w:val="none" w:color="auto" w:sz="0" w:space="0"/>
          <w:shd w:val="clear" w:fill="FFFFFF"/>
          <w:lang w:val="en-US" w:eastAsia="zh-CN" w:bidi="ar"/>
        </w:rPr>
        <w:t>公示期3天，从2026年4月28日起到4月30日止,任何单位或个人在公示期内对公示项目存有异议的，请以真实身份向智能教育分会秘书处提出。</w:t>
      </w:r>
    </w:p>
    <w:p w14:paraId="3381A78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 w:lineRule="atLeast"/>
        <w:ind w:left="0" w:right="0" w:firstLine="555"/>
        <w:jc w:val="both"/>
        <w:textAlignment w:val="auto"/>
        <w:rPr>
          <w:rFonts w:hint="eastAsia" w:ascii="微软雅黑" w:hAnsi="微软雅黑" w:eastAsia="微软雅黑" w:cs="微软雅黑"/>
          <w:i w:val="0"/>
          <w:iCs w:val="0"/>
          <w:caps w:val="0"/>
          <w:color w:val="000000"/>
          <w:spacing w:val="0"/>
          <w:sz w:val="28"/>
          <w:szCs w:val="28"/>
        </w:rPr>
      </w:pPr>
      <w:r>
        <w:rPr>
          <w:rFonts w:hint="eastAsia" w:ascii="仿宋_GB2312" w:hAnsi="仿宋_GB2312" w:eastAsia="仿宋_GB2312" w:cs="仿宋_GB2312"/>
          <w:b w:val="0"/>
          <w:bCs w:val="0"/>
          <w:i w:val="0"/>
          <w:iCs w:val="0"/>
          <w:caps w:val="0"/>
          <w:color w:val="000000"/>
          <w:spacing w:val="0"/>
          <w:kern w:val="0"/>
          <w:sz w:val="28"/>
          <w:szCs w:val="28"/>
          <w:bdr w:val="none" w:color="auto" w:sz="0" w:space="0"/>
          <w:shd w:val="clear" w:fill="FFFFFF"/>
          <w:lang w:val="en-US" w:eastAsia="zh-CN" w:bidi="ar"/>
        </w:rPr>
        <w:t>智能教育分会秘书处联系人：孙翔；电话：15268213123（微信同号）。</w:t>
      </w:r>
    </w:p>
    <w:p w14:paraId="747AE69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6" w:lineRule="atLeast"/>
        <w:ind w:left="0" w:right="0" w:firstLine="555"/>
        <w:jc w:val="both"/>
        <w:textAlignment w:val="auto"/>
        <w:rPr>
          <w:rFonts w:hint="eastAsia" w:ascii="微软雅黑" w:hAnsi="微软雅黑" w:eastAsia="微软雅黑" w:cs="微软雅黑"/>
          <w:i w:val="0"/>
          <w:iCs w:val="0"/>
          <w:caps w:val="0"/>
          <w:color w:val="000000"/>
          <w:spacing w:val="0"/>
          <w:sz w:val="28"/>
          <w:szCs w:val="28"/>
        </w:rPr>
      </w:pPr>
      <w:r>
        <w:rPr>
          <w:rFonts w:hint="eastAsia" w:ascii="仿宋_GB2312" w:hAnsi="仿宋_GB2312" w:eastAsia="仿宋_GB2312" w:cs="仿宋_GB2312"/>
          <w:b w:val="0"/>
          <w:bCs w:val="0"/>
          <w:i w:val="0"/>
          <w:iCs w:val="0"/>
          <w:caps w:val="0"/>
          <w:color w:val="000000"/>
          <w:spacing w:val="0"/>
          <w:kern w:val="0"/>
          <w:sz w:val="28"/>
          <w:szCs w:val="28"/>
          <w:bdr w:val="none" w:color="auto" w:sz="0" w:space="0"/>
          <w:shd w:val="clear" w:fill="FFFFFF"/>
          <w:lang w:val="en-US" w:eastAsia="zh-CN" w:bidi="ar"/>
        </w:rPr>
        <w:t>   </w:t>
      </w:r>
    </w:p>
    <w:p w14:paraId="354850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 w:lineRule="atLeast"/>
        <w:ind w:left="0" w:right="0" w:firstLine="555"/>
        <w:jc w:val="right"/>
        <w:textAlignment w:val="auto"/>
        <w:rPr>
          <w:rFonts w:hint="eastAsia" w:ascii="微软雅黑" w:hAnsi="微软雅黑" w:eastAsia="微软雅黑" w:cs="微软雅黑"/>
          <w:i w:val="0"/>
          <w:iCs w:val="0"/>
          <w:caps w:val="0"/>
          <w:color w:val="000000"/>
          <w:spacing w:val="0"/>
          <w:sz w:val="28"/>
          <w:szCs w:val="28"/>
        </w:rPr>
      </w:pPr>
      <w:r>
        <w:rPr>
          <w:rFonts w:hint="eastAsia" w:ascii="仿宋_GB2312" w:hAnsi="仿宋_GB2312" w:eastAsia="仿宋_GB2312" w:cs="仿宋_GB2312"/>
          <w:b w:val="0"/>
          <w:bCs w:val="0"/>
          <w:i w:val="0"/>
          <w:iCs w:val="0"/>
          <w:caps w:val="0"/>
          <w:color w:val="000000"/>
          <w:spacing w:val="0"/>
          <w:sz w:val="28"/>
          <w:szCs w:val="28"/>
          <w:bdr w:val="none" w:color="auto" w:sz="0" w:space="0"/>
          <w:shd w:val="clear" w:fill="FFFFFF"/>
        </w:rPr>
        <w:t>浙江省高等教育学会智能教育分会</w:t>
      </w:r>
    </w:p>
    <w:p w14:paraId="76C7BF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 w:lineRule="atLeast"/>
        <w:ind w:left="0" w:right="0" w:firstLine="0"/>
        <w:jc w:val="right"/>
        <w:textAlignment w:val="auto"/>
        <w:rPr>
          <w:rFonts w:hint="eastAsia" w:ascii="微软雅黑" w:hAnsi="微软雅黑" w:eastAsia="微软雅黑" w:cs="微软雅黑"/>
          <w:i w:val="0"/>
          <w:iCs w:val="0"/>
          <w:caps w:val="0"/>
          <w:color w:val="000000"/>
          <w:spacing w:val="0"/>
          <w:sz w:val="28"/>
          <w:szCs w:val="28"/>
        </w:rPr>
      </w:pPr>
      <w:r>
        <w:rPr>
          <w:rFonts w:hint="eastAsia" w:ascii="仿宋_GB2312" w:hAnsi="仿宋_GB2312" w:eastAsia="仿宋_GB2312" w:cs="仿宋_GB2312"/>
          <w:b w:val="0"/>
          <w:bCs w:val="0"/>
          <w:i w:val="0"/>
          <w:iCs w:val="0"/>
          <w:caps w:val="0"/>
          <w:color w:val="000000"/>
          <w:spacing w:val="0"/>
          <w:sz w:val="28"/>
          <w:szCs w:val="28"/>
          <w:bdr w:val="none" w:color="auto" w:sz="0" w:space="0"/>
          <w:shd w:val="clear" w:fill="FFFFFF"/>
          <w:lang w:val="en-US"/>
        </w:rPr>
        <w:t>202</w:t>
      </w:r>
      <w:r>
        <w:rPr>
          <w:rFonts w:hint="eastAsia" w:ascii="仿宋_GB2312" w:hAnsi="仿宋_GB2312" w:eastAsia="仿宋_GB2312" w:cs="仿宋_GB2312"/>
          <w:b w:val="0"/>
          <w:bCs w:val="0"/>
          <w:i w:val="0"/>
          <w:iCs w:val="0"/>
          <w:caps w:val="0"/>
          <w:color w:val="000000"/>
          <w:spacing w:val="0"/>
          <w:sz w:val="28"/>
          <w:szCs w:val="28"/>
          <w:bdr w:val="none" w:color="auto" w:sz="0" w:space="0"/>
          <w:shd w:val="clear" w:fill="FFFFFF"/>
          <w:lang w:val="en-US" w:eastAsia="zh-CN"/>
        </w:rPr>
        <w:t>6</w:t>
      </w:r>
      <w:r>
        <w:rPr>
          <w:rFonts w:hint="eastAsia" w:ascii="仿宋_GB2312" w:hAnsi="仿宋_GB2312" w:eastAsia="仿宋_GB2312" w:cs="仿宋_GB2312"/>
          <w:b w:val="0"/>
          <w:bCs w:val="0"/>
          <w:i w:val="0"/>
          <w:iCs w:val="0"/>
          <w:caps w:val="0"/>
          <w:color w:val="000000"/>
          <w:spacing w:val="0"/>
          <w:sz w:val="28"/>
          <w:szCs w:val="28"/>
          <w:bdr w:val="none" w:color="auto" w:sz="0" w:space="0"/>
          <w:shd w:val="clear" w:fill="FFFFFF"/>
        </w:rPr>
        <w:t>年</w:t>
      </w:r>
      <w:r>
        <w:rPr>
          <w:rFonts w:hint="eastAsia" w:ascii="仿宋_GB2312" w:hAnsi="仿宋_GB2312" w:eastAsia="仿宋_GB2312" w:cs="仿宋_GB2312"/>
          <w:b w:val="0"/>
          <w:bCs w:val="0"/>
          <w:i w:val="0"/>
          <w:iCs w:val="0"/>
          <w:caps w:val="0"/>
          <w:color w:val="000000"/>
          <w:spacing w:val="0"/>
          <w:sz w:val="28"/>
          <w:szCs w:val="28"/>
          <w:bdr w:val="none" w:color="auto" w:sz="0" w:space="0"/>
          <w:shd w:val="clear" w:fill="FFFFFF"/>
          <w:lang w:val="en-US" w:eastAsia="zh-CN"/>
        </w:rPr>
        <w:t>4</w:t>
      </w:r>
      <w:r>
        <w:rPr>
          <w:rFonts w:hint="eastAsia" w:ascii="仿宋_GB2312" w:hAnsi="仿宋_GB2312" w:eastAsia="仿宋_GB2312" w:cs="仿宋_GB2312"/>
          <w:b w:val="0"/>
          <w:bCs w:val="0"/>
          <w:i w:val="0"/>
          <w:iCs w:val="0"/>
          <w:caps w:val="0"/>
          <w:color w:val="000000"/>
          <w:spacing w:val="0"/>
          <w:sz w:val="28"/>
          <w:szCs w:val="28"/>
          <w:bdr w:val="none" w:color="auto" w:sz="0" w:space="0"/>
          <w:shd w:val="clear" w:fill="FFFFFF"/>
        </w:rPr>
        <w:t>月</w:t>
      </w:r>
      <w:r>
        <w:rPr>
          <w:rFonts w:hint="eastAsia" w:ascii="仿宋_GB2312" w:hAnsi="仿宋_GB2312" w:eastAsia="仿宋_GB2312" w:cs="仿宋_GB2312"/>
          <w:b w:val="0"/>
          <w:bCs w:val="0"/>
          <w:i w:val="0"/>
          <w:iCs w:val="0"/>
          <w:caps w:val="0"/>
          <w:color w:val="000000"/>
          <w:spacing w:val="0"/>
          <w:sz w:val="28"/>
          <w:szCs w:val="28"/>
          <w:bdr w:val="none" w:color="auto" w:sz="0" w:space="0"/>
          <w:shd w:val="clear" w:fill="FFFFFF"/>
          <w:lang w:val="en-US" w:eastAsia="zh-CN"/>
        </w:rPr>
        <w:t>28</w:t>
      </w:r>
      <w:r>
        <w:rPr>
          <w:rFonts w:hint="eastAsia" w:ascii="仿宋_GB2312" w:hAnsi="仿宋_GB2312" w:eastAsia="仿宋_GB2312" w:cs="仿宋_GB2312"/>
          <w:b w:val="0"/>
          <w:bCs w:val="0"/>
          <w:i w:val="0"/>
          <w:iCs w:val="0"/>
          <w:caps w:val="0"/>
          <w:color w:val="000000"/>
          <w:spacing w:val="0"/>
          <w:sz w:val="28"/>
          <w:szCs w:val="28"/>
          <w:bdr w:val="none" w:color="auto" w:sz="0" w:space="0"/>
          <w:shd w:val="clear" w:fill="FFFFFF"/>
        </w:rPr>
        <w:t>日</w:t>
      </w:r>
    </w:p>
    <w:p w14:paraId="6B3D842B">
      <w:r>
        <w:br w:type="page"/>
      </w:r>
    </w:p>
    <w:p w14:paraId="2F681271">
      <w:pPr>
        <w:sectPr>
          <w:pgSz w:w="11906" w:h="16838"/>
          <w:pgMar w:top="1440" w:right="1800" w:bottom="1440" w:left="1800" w:header="851" w:footer="992" w:gutter="0"/>
          <w:cols w:space="425" w:num="1"/>
          <w:docGrid w:type="lines" w:linePitch="312" w:charSpace="0"/>
        </w:sectPr>
      </w:pPr>
    </w:p>
    <w:p w14:paraId="43293F19">
      <w:pPr>
        <w:widowControl/>
        <w:jc w:val="left"/>
        <w:rPr>
          <w:rFonts w:asciiTheme="majorEastAsia" w:hAnsiTheme="majorEastAsia" w:eastAsiaTheme="majorEastAsia"/>
          <w:b/>
          <w:sz w:val="36"/>
          <w:szCs w:val="36"/>
        </w:rPr>
      </w:pPr>
      <w:r>
        <w:rPr>
          <w:rFonts w:hint="eastAsia" w:asciiTheme="majorEastAsia" w:hAnsiTheme="majorEastAsia" w:eastAsiaTheme="majorEastAsia"/>
          <w:b/>
          <w:sz w:val="36"/>
          <w:szCs w:val="36"/>
        </w:rPr>
        <w:t>附件：</w:t>
      </w:r>
    </w:p>
    <w:p w14:paraId="001CFE11">
      <w:pPr>
        <w:jc w:val="center"/>
      </w:pPr>
      <w:r>
        <w:rPr>
          <w:rFonts w:hint="eastAsia" w:asciiTheme="majorEastAsia" w:hAnsiTheme="majorEastAsia" w:eastAsiaTheme="majorEastAsia"/>
          <w:b/>
          <w:sz w:val="36"/>
          <w:szCs w:val="36"/>
          <w:lang w:val="en-US" w:eastAsia="zh-CN"/>
        </w:rPr>
        <w:t>智能教育分会</w:t>
      </w:r>
      <w:r>
        <w:rPr>
          <w:rFonts w:hint="eastAsia" w:asciiTheme="majorEastAsia" w:hAnsiTheme="majorEastAsia" w:eastAsiaTheme="majorEastAsia"/>
          <w:b/>
          <w:sz w:val="36"/>
          <w:szCs w:val="36"/>
        </w:rPr>
        <w:t>202</w:t>
      </w:r>
      <w:r>
        <w:rPr>
          <w:rFonts w:hint="eastAsia" w:asciiTheme="majorEastAsia" w:hAnsiTheme="majorEastAsia" w:eastAsiaTheme="majorEastAsia"/>
          <w:b/>
          <w:sz w:val="36"/>
          <w:szCs w:val="36"/>
          <w:lang w:val="en-US" w:eastAsia="zh-CN"/>
        </w:rPr>
        <w:t>6</w:t>
      </w:r>
      <w:r>
        <w:rPr>
          <w:rFonts w:hint="eastAsia" w:asciiTheme="majorEastAsia" w:hAnsiTheme="majorEastAsia" w:eastAsiaTheme="majorEastAsia"/>
          <w:b/>
          <w:sz w:val="36"/>
          <w:szCs w:val="36"/>
        </w:rPr>
        <w:t>年度高等教育研究</w:t>
      </w:r>
      <w:r>
        <w:rPr>
          <w:rFonts w:hint="eastAsia" w:ascii="宋体" w:hAnsi="宋体"/>
          <w:b/>
          <w:sz w:val="36"/>
          <w:szCs w:val="36"/>
        </w:rPr>
        <w:t>课题</w:t>
      </w:r>
      <w:r>
        <w:rPr>
          <w:rFonts w:hint="eastAsia" w:ascii="宋体" w:hAnsi="宋体"/>
          <w:b/>
          <w:sz w:val="36"/>
          <w:szCs w:val="36"/>
          <w:lang w:val="en-US" w:eastAsia="zh-CN"/>
        </w:rPr>
        <w:t>评审结果</w:t>
      </w:r>
      <w:r>
        <w:rPr>
          <w:rFonts w:hint="eastAsia" w:ascii="宋体" w:hAnsi="宋体"/>
          <w:b/>
          <w:sz w:val="36"/>
          <w:szCs w:val="36"/>
        </w:rPr>
        <w:t>汇总表</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757"/>
        <w:gridCol w:w="7875"/>
        <w:gridCol w:w="3348"/>
        <w:gridCol w:w="1068"/>
        <w:gridCol w:w="1120"/>
      </w:tblGrid>
      <w:tr w14:paraId="22CAF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75B979A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项目序号</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59E43D1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课题名称</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4EF2C40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学校</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69F870A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负责人</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168058B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类型</w:t>
            </w:r>
          </w:p>
        </w:tc>
      </w:tr>
      <w:tr w14:paraId="0BA0C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4C687F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2779"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14AFC2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基于时序超图的师范生反思能力演化机理与智能干预研究</w:t>
            </w:r>
          </w:p>
        </w:tc>
        <w:tc>
          <w:tcPr>
            <w:tcW w:w="1181"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4D4D15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宁波大学</w:t>
            </w:r>
          </w:p>
        </w:tc>
        <w:tc>
          <w:tcPr>
            <w:tcW w:w="376"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3A86CB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章成铭</w:t>
            </w:r>
          </w:p>
        </w:tc>
        <w:tc>
          <w:tcPr>
            <w:tcW w:w="395"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167975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学会课题</w:t>
            </w:r>
          </w:p>
        </w:tc>
      </w:tr>
      <w:tr w14:paraId="0B51D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649B4D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2779"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4250E9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AI赋能大学生学业发展：动态监测与个性化干预机制研究</w:t>
            </w:r>
          </w:p>
        </w:tc>
        <w:tc>
          <w:tcPr>
            <w:tcW w:w="1181"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19936A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宁波财经学院</w:t>
            </w:r>
          </w:p>
        </w:tc>
        <w:tc>
          <w:tcPr>
            <w:tcW w:w="376"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56775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易后余</w:t>
            </w:r>
          </w:p>
        </w:tc>
        <w:tc>
          <w:tcPr>
            <w:tcW w:w="395"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4B9E1D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学会课题</w:t>
            </w:r>
          </w:p>
        </w:tc>
      </w:tr>
      <w:tr w14:paraId="57327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0945A9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2779"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7756C3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浙江省高校青年教师多模态教学专长的驱动因素与提升路径研究</w:t>
            </w:r>
          </w:p>
        </w:tc>
        <w:tc>
          <w:tcPr>
            <w:tcW w:w="1181"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64D299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浙江科技大学</w:t>
            </w:r>
          </w:p>
        </w:tc>
        <w:tc>
          <w:tcPr>
            <w:tcW w:w="376"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741424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曹祯昊</w:t>
            </w:r>
          </w:p>
        </w:tc>
        <w:tc>
          <w:tcPr>
            <w:tcW w:w="395"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3B1027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学会课题</w:t>
            </w:r>
          </w:p>
        </w:tc>
      </w:tr>
      <w:tr w14:paraId="3D277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7347C7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2779"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109F98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基于情感隐喻分析的影像叙事创作实践教学体系研究</w:t>
            </w:r>
          </w:p>
        </w:tc>
        <w:tc>
          <w:tcPr>
            <w:tcW w:w="1181"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341AAC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浙江师范大学行知学院</w:t>
            </w:r>
          </w:p>
        </w:tc>
        <w:tc>
          <w:tcPr>
            <w:tcW w:w="376"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3F1D3A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叶茜茜</w:t>
            </w:r>
          </w:p>
        </w:tc>
        <w:tc>
          <w:tcPr>
            <w:tcW w:w="395"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572177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学会课题</w:t>
            </w:r>
          </w:p>
        </w:tc>
      </w:tr>
      <w:tr w14:paraId="6C566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2F1367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2779"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564A37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基于超星智能体的研究生学术英语PBL过程诊断及其个性化支持机制研究</w:t>
            </w:r>
          </w:p>
        </w:tc>
        <w:tc>
          <w:tcPr>
            <w:tcW w:w="1181"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4973E1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浙大宁波理工学院</w:t>
            </w:r>
          </w:p>
        </w:tc>
        <w:tc>
          <w:tcPr>
            <w:tcW w:w="376"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3E7B0E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周先武</w:t>
            </w:r>
          </w:p>
        </w:tc>
        <w:tc>
          <w:tcPr>
            <w:tcW w:w="395" w:type="pct"/>
            <w:tcBorders>
              <w:top w:val="single" w:color="000000" w:sz="4" w:space="0"/>
              <w:left w:val="single" w:color="000000" w:sz="4" w:space="0"/>
              <w:bottom w:val="single" w:color="000000" w:sz="4" w:space="0"/>
              <w:right w:val="single" w:color="000000" w:sz="4" w:space="0"/>
            </w:tcBorders>
            <w:shd w:val="clear" w:color="auto" w:fill="D9E1F4"/>
            <w:noWrap/>
            <w:vAlign w:val="center"/>
          </w:tcPr>
          <w:p w14:paraId="7E9172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学会课题</w:t>
            </w:r>
          </w:p>
        </w:tc>
      </w:tr>
      <w:tr w14:paraId="342F8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5D8582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0B66A5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生成式人工智能背景下高职学生认知依赖的形成机制与教学治理研究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3BC397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杭州万向职业技术学院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29BC56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杨艳</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537361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18235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3F24B9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4FCE2A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基于多模态学习者画像的美术师范生个性化学习机制研究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7570B7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宁波大学</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41940E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李元欣</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2F31C3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1E4CE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29CB12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2BAB35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多智能体协同赋能程序开发类课程教学研究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019829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浙江理工大学科技与艺术学院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2CB0E3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胡多海</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6C36BF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66591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3A927F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4E2E24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创新实践教育体系培养高素质应用型人才的探索与实践</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6D75D0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杭州师范大学</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185A00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夏雨</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04E9E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37C3C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0C8C9E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09A19B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“AIGC+虚拟仿真”双驱动下服装专业数智化教学模式创新研究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2569B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嘉兴南湖学院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107B1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朱庆艳</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3ED264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31A8C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50C4D4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3B73C0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基于AI智能体的Python语言程序设计代码测评与学情分析机制研究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00CDB8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嘉兴南湖学院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7F3735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叶培松</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16C6BA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52BE3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37155B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515DD6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“AI+知识图谱”赋能的医工融合高等数学二阶案例 驱动教学模式构建与实践</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7541D0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温州医科大学</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480954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胡晓晓</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31910B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5D5FF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775041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768562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人工智能赋能个性化学习机制探索与实践——以《离散数学》课程为例</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7C2575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杭州电子科技大学信息工程学院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48C94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孙志海</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5FE710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30747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3B1B3B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60A15F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基于VR虚拟慕课的沉浸式学习体验与实践教学应用研究——以环境监测综合实训为例</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452F94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杭州万向职业技术学院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1CB77F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金熠</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0F980F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6798D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41D38C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606233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AI知识库驱动的高校学科知识管理与科研数据应用研究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220A1B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绍兴大学</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1EAC24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王臣</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238E4E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2C40B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386585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7B3A30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人工智能背景下临床医学专业《中医学》课程思政教学新模式探析</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6B73D2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绍兴大学</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3EE732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祝炳军</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7407FF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5D7B9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2C986D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15EDBA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基于超星AI助手的《刑法分论》“多角色协同”教学模式研究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339E37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浙江财经大学东方学院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6847CA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蒋晗华</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667734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68AFC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208AEC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292E40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人工智能背景下的高校公益创业人才培养模式创新探究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26CF8A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浙江财经大学东方学院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51DE39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宋露露</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28F122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1CC5B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5276A6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23EA6A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基于多智能体协同的职业本科课程思政育人机制构建与实践——以《生成式人工智能应用》为例</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194D9D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浙江广厦建设职业技术大学</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3B0865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金瑜婷</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6214FC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75ADD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724833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4F61BD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基于设计学垂类模型的智能教学模式优化研究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7F5B7D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浙江理工大学科技与艺术学院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477709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袁凯妮</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523689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31B05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61EFFE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2F94D5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生成式人工智能赋能工科专业课程教学实证研究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7A695F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浙大宁波理工学院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1B1274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虞效益</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6766F7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1BE6B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3370A1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7C1D66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AI支持的跨学科专业知识图谱构建与教学应用模式研究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038464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中国美术学院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716D85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顾文佳</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4D008D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28F9E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397258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23</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0B3484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“新医科”背景下麻醉学一流专业建设路径研究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2C17B6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温州医科大学</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498BDE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梅虹霞</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3D4889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38FFB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3EB440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75FBD5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数智融合视域下食品仪器分析技术教学智能体的构建与应用研究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696BD1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浙江药科职业大学</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21FB46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施家威</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7C9C66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4D22F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49289E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14D457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AI赋能下的高校场景化数据采集体系创新研究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27A608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浙江药科职业大学</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1D0E0A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陈甬娜</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328B83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5C134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23F6D4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7289DA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人工智能赋能杭州高校课程思政的机制优化与路径创新研究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02D845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杭州师范大学</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38F70D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白艳晖</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5B21BD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7AEE2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1EBC56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64F2AF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“智能业财税”融合背景下财税人才培养的适配路径探索</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7CE1AD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杭州电子科技大学信息工程学院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4DA9A4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吴盼盼</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300446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44BE0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03183A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423CB1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“智联双驱·虚实结合”视域下基于AI2RE的新工科智慧课程创新实践</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0B300C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浙江科技大学</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1082C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王霞</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4BB19A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66114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205C75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29</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18F1D8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生成式人工智能赋能下真实科研课题嵌入式《计算机视觉》教学研究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11C99A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宁波工程学院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4859A3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高巍</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58F1CF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r w14:paraId="1E0DB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0" w:hRule="atLeast"/>
        </w:trPr>
        <w:tc>
          <w:tcPr>
            <w:tcW w:w="267" w:type="pct"/>
            <w:tcBorders>
              <w:top w:val="single" w:color="000000" w:sz="4" w:space="0"/>
              <w:left w:val="single" w:color="000000" w:sz="4" w:space="0"/>
              <w:bottom w:val="single" w:color="000000" w:sz="4" w:space="0"/>
              <w:right w:val="single" w:color="000000" w:sz="4" w:space="0"/>
            </w:tcBorders>
            <w:shd w:val="clear"/>
            <w:noWrap/>
            <w:vAlign w:val="center"/>
          </w:tcPr>
          <w:p w14:paraId="49A990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w:t>
            </w:r>
          </w:p>
        </w:tc>
        <w:tc>
          <w:tcPr>
            <w:tcW w:w="2779" w:type="pct"/>
            <w:tcBorders>
              <w:top w:val="single" w:color="000000" w:sz="4" w:space="0"/>
              <w:left w:val="single" w:color="000000" w:sz="4" w:space="0"/>
              <w:bottom w:val="single" w:color="000000" w:sz="4" w:space="0"/>
              <w:right w:val="single" w:color="000000" w:sz="4" w:space="0"/>
            </w:tcBorders>
            <w:shd w:val="clear"/>
            <w:noWrap/>
            <w:vAlign w:val="center"/>
          </w:tcPr>
          <w:p w14:paraId="72E2AE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“人机协同”视域下生成式AI赋能高校学业过程性评价的模式重构与实效研究</w:t>
            </w:r>
          </w:p>
        </w:tc>
        <w:tc>
          <w:tcPr>
            <w:tcW w:w="1181" w:type="pct"/>
            <w:tcBorders>
              <w:top w:val="single" w:color="000000" w:sz="4" w:space="0"/>
              <w:left w:val="single" w:color="000000" w:sz="4" w:space="0"/>
              <w:bottom w:val="single" w:color="000000" w:sz="4" w:space="0"/>
              <w:right w:val="single" w:color="000000" w:sz="4" w:space="0"/>
            </w:tcBorders>
            <w:shd w:val="clear"/>
            <w:noWrap/>
            <w:vAlign w:val="center"/>
          </w:tcPr>
          <w:p w14:paraId="220865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浙江师范大学行知学院</w:t>
            </w:r>
          </w:p>
        </w:tc>
        <w:tc>
          <w:tcPr>
            <w:tcW w:w="376" w:type="pct"/>
            <w:tcBorders>
              <w:top w:val="single" w:color="000000" w:sz="4" w:space="0"/>
              <w:left w:val="single" w:color="000000" w:sz="4" w:space="0"/>
              <w:bottom w:val="single" w:color="000000" w:sz="4" w:space="0"/>
              <w:right w:val="single" w:color="000000" w:sz="4" w:space="0"/>
            </w:tcBorders>
            <w:shd w:val="clear"/>
            <w:noWrap/>
            <w:vAlign w:val="center"/>
          </w:tcPr>
          <w:p w14:paraId="37E6E3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邓智敏</w:t>
            </w:r>
          </w:p>
        </w:tc>
        <w:tc>
          <w:tcPr>
            <w:tcW w:w="395" w:type="pct"/>
            <w:tcBorders>
              <w:top w:val="single" w:color="000000" w:sz="4" w:space="0"/>
              <w:left w:val="single" w:color="000000" w:sz="4" w:space="0"/>
              <w:bottom w:val="single" w:color="000000" w:sz="4" w:space="0"/>
              <w:right w:val="single" w:color="000000" w:sz="4" w:space="0"/>
            </w:tcBorders>
            <w:shd w:val="clear"/>
            <w:noWrap/>
            <w:vAlign w:val="center"/>
          </w:tcPr>
          <w:p w14:paraId="6CDA09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分会课题</w:t>
            </w:r>
          </w:p>
        </w:tc>
      </w:tr>
    </w:tbl>
    <w:p w14:paraId="080655E5"/>
    <w:sectPr>
      <w:pgSz w:w="16838" w:h="11906" w:orient="landscape"/>
      <w:pgMar w:top="1349" w:right="1440" w:bottom="1349"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D376EB"/>
    <w:rsid w:val="42D376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2026-04-28T00:15:00Z</dcterms:created>
  <dc:creator>孙翔</dc:creator>
  <cp:lastModifiedBy>孙翔</cp:lastModifiedBy>
  <dcterms:modified xsi:type="dcterms:W3CDTF">2026-04-28T01:11:56Z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2C709877849C4FE2A50C35C1D40E59A4_11</vt:lpwstr>
  </property>
  <property fmtid="{D5CDD505-2E9C-101B-9397-08002B2CF9AE}" pid="4" name="KSOTemplateDocerSaveRecord">
    <vt:lpwstr>eyJoZGlkIjoiZmMzNDdkYjhhYzdhMDQ2MzI5YzE3YjQ1YzUzNTEyMGEiLCJ1c2VySWQiOiIxNzM1NDE1NDQyIn0=</vt:lpwstr>
  </property>
</Properties>
</file>